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71" w:rsidRDefault="00255F71" w:rsidP="00255F71">
      <w:pPr>
        <w:shd w:val="clear" w:color="auto" w:fill="FFFFFF"/>
        <w:spacing w:before="75" w:after="75" w:line="270" w:lineRule="atLeast"/>
        <w:ind w:left="375"/>
        <w:jc w:val="center"/>
        <w:outlineLvl w:val="3"/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  <w:t>Nº 20</w:t>
      </w:r>
    </w:p>
    <w:p w:rsidR="001D17BB" w:rsidRPr="0055590E" w:rsidRDefault="001D17BB" w:rsidP="001C3B84">
      <w:pPr>
        <w:shd w:val="clear" w:color="auto" w:fill="FFFFFF"/>
        <w:spacing w:before="75" w:after="75" w:line="270" w:lineRule="atLeast"/>
        <w:ind w:left="375"/>
        <w:jc w:val="both"/>
        <w:outlineLvl w:val="3"/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</w:pPr>
      <w:r w:rsidRPr="0055590E"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  <w:t>IMPLEMENTACIÓN</w:t>
      </w:r>
      <w:r w:rsidR="00294E4B" w:rsidRPr="0055590E"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  <w:t xml:space="preserve"> Y </w:t>
      </w:r>
      <w:r w:rsidR="00B072EC" w:rsidRPr="0055590E"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  <w:t>ESTANDARIZACIÓN</w:t>
      </w:r>
      <w:r w:rsidRPr="0055590E">
        <w:rPr>
          <w:rFonts w:ascii="Arial" w:eastAsia="Times New Roman" w:hAnsi="Arial" w:cs="Arial"/>
          <w:b/>
          <w:bCs/>
          <w:color w:val="403F3D"/>
          <w:sz w:val="20"/>
          <w:szCs w:val="20"/>
          <w:lang w:val="es-MX"/>
        </w:rPr>
        <w:t xml:space="preserve"> DE LA TÉCNICA DE PCR EN TIEMPO REAL PARA LA CUANTIFICACIÓN DEL TRANSCRIPTO BCR-ABL EN LA LEUCEMIA MIELOIDE CRÓNICA</w:t>
      </w:r>
    </w:p>
    <w:p w:rsidR="008020D2" w:rsidRPr="0055590E" w:rsidRDefault="008020D2" w:rsidP="008020D2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020D2" w:rsidRPr="0055590E" w:rsidRDefault="008020D2" w:rsidP="0055590E">
      <w:pPr>
        <w:shd w:val="clear" w:color="auto" w:fill="FFFFFF"/>
        <w:spacing w:before="75" w:after="75" w:line="270" w:lineRule="atLeast"/>
        <w:jc w:val="both"/>
        <w:outlineLvl w:val="3"/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</w:pPr>
      <w:r w:rsidRPr="0055590E">
        <w:rPr>
          <w:rFonts w:ascii="Arial" w:hAnsi="Arial" w:cs="Arial"/>
          <w:b/>
          <w:sz w:val="20"/>
          <w:szCs w:val="20"/>
          <w:u w:val="single"/>
          <w:lang w:val="pt-BR"/>
        </w:rPr>
        <w:t>Sánchez, S</w:t>
      </w:r>
      <w:r w:rsidRPr="0055590E">
        <w:rPr>
          <w:rFonts w:ascii="Arial" w:hAnsi="Arial" w:cs="Arial"/>
          <w:b/>
          <w:sz w:val="20"/>
          <w:szCs w:val="20"/>
          <w:u w:val="single"/>
          <w:vertAlign w:val="superscript"/>
          <w:lang w:val="pt-BR"/>
        </w:rPr>
        <w:t>1</w:t>
      </w:r>
      <w:r w:rsidRPr="0055590E">
        <w:rPr>
          <w:rFonts w:ascii="Arial" w:hAnsi="Arial" w:cs="Arial"/>
          <w:b/>
          <w:sz w:val="20"/>
          <w:szCs w:val="20"/>
          <w:lang w:val="pt-BR"/>
        </w:rPr>
        <w:t xml:space="preserve">; </w:t>
      </w:r>
      <w:proofErr w:type="spellStart"/>
      <w:r w:rsidRPr="0055590E">
        <w:rPr>
          <w:rFonts w:ascii="Arial" w:hAnsi="Arial" w:cs="Arial"/>
          <w:b/>
          <w:sz w:val="20"/>
          <w:szCs w:val="20"/>
          <w:lang w:val="pt-BR"/>
        </w:rPr>
        <w:t>Jolly</w:t>
      </w:r>
      <w:proofErr w:type="spellEnd"/>
      <w:r w:rsidRPr="0055590E">
        <w:rPr>
          <w:rFonts w:ascii="Arial" w:hAnsi="Arial" w:cs="Arial"/>
          <w:b/>
          <w:sz w:val="20"/>
          <w:szCs w:val="20"/>
          <w:lang w:val="pt-BR"/>
        </w:rPr>
        <w:t>, V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Pr="0055590E">
        <w:rPr>
          <w:rFonts w:ascii="Arial" w:hAnsi="Arial" w:cs="Arial"/>
          <w:b/>
          <w:sz w:val="20"/>
          <w:szCs w:val="20"/>
          <w:lang w:val="pt-BR"/>
        </w:rPr>
        <w:t xml:space="preserve">; Martínez de Nuñez, </w:t>
      </w:r>
      <w:proofErr w:type="gramStart"/>
      <w:r w:rsidRPr="0055590E">
        <w:rPr>
          <w:rFonts w:ascii="Arial" w:hAnsi="Arial" w:cs="Arial"/>
          <w:b/>
          <w:sz w:val="20"/>
          <w:szCs w:val="20"/>
          <w:lang w:val="pt-BR"/>
        </w:rPr>
        <w:t>I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2,</w:t>
      </w:r>
      <w:proofErr w:type="gramEnd"/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 w:rsidRPr="0055590E">
        <w:rPr>
          <w:rFonts w:ascii="Arial" w:hAnsi="Arial" w:cs="Arial"/>
          <w:b/>
          <w:sz w:val="20"/>
          <w:szCs w:val="20"/>
          <w:lang w:val="pt-BR"/>
        </w:rPr>
        <w:t>; Molas, C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 w:rsidRPr="0055590E">
        <w:rPr>
          <w:rFonts w:ascii="Arial" w:hAnsi="Arial" w:cs="Arial"/>
          <w:b/>
          <w:sz w:val="20"/>
          <w:szCs w:val="20"/>
          <w:lang w:val="pt-BR"/>
        </w:rPr>
        <w:t xml:space="preserve">, </w:t>
      </w:r>
      <w:proofErr w:type="spellStart"/>
      <w:r w:rsidRPr="0055590E">
        <w:rPr>
          <w:rFonts w:ascii="Arial" w:hAnsi="Arial" w:cs="Arial"/>
          <w:b/>
          <w:sz w:val="20"/>
          <w:szCs w:val="20"/>
          <w:lang w:val="pt-BR"/>
        </w:rPr>
        <w:t>Quiroz</w:t>
      </w:r>
      <w:proofErr w:type="spellEnd"/>
      <w:r w:rsidRPr="0055590E">
        <w:rPr>
          <w:rFonts w:ascii="Arial" w:hAnsi="Arial" w:cs="Arial"/>
          <w:b/>
          <w:sz w:val="20"/>
          <w:szCs w:val="20"/>
          <w:lang w:val="pt-BR"/>
        </w:rPr>
        <w:t>, A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 w:rsidRPr="0055590E">
        <w:rPr>
          <w:rFonts w:ascii="Arial" w:hAnsi="Arial" w:cs="Arial"/>
          <w:b/>
          <w:sz w:val="20"/>
          <w:szCs w:val="20"/>
          <w:lang w:val="pt-BR"/>
        </w:rPr>
        <w:t>;  Rodríguez, S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Pr="0055590E">
        <w:rPr>
          <w:rFonts w:ascii="Arial" w:hAnsi="Arial" w:cs="Arial"/>
          <w:b/>
          <w:sz w:val="20"/>
          <w:szCs w:val="20"/>
          <w:lang w:val="pt-BR"/>
        </w:rPr>
        <w:t xml:space="preserve">; </w:t>
      </w:r>
      <w:proofErr w:type="spellStart"/>
      <w:r w:rsidRPr="0055590E">
        <w:rPr>
          <w:rFonts w:ascii="Arial" w:hAnsi="Arial" w:cs="Arial"/>
          <w:b/>
          <w:sz w:val="20"/>
          <w:szCs w:val="20"/>
          <w:lang w:val="pt-BR"/>
        </w:rPr>
        <w:t>Ayala-Lugo</w:t>
      </w:r>
      <w:proofErr w:type="spellEnd"/>
      <w:r w:rsidRPr="0055590E">
        <w:rPr>
          <w:rFonts w:ascii="Arial" w:hAnsi="Arial" w:cs="Arial"/>
          <w:b/>
          <w:sz w:val="20"/>
          <w:szCs w:val="20"/>
          <w:lang w:val="pt-BR"/>
        </w:rPr>
        <w:t>, A</w:t>
      </w:r>
      <w:r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="0055590E" w:rsidRPr="0055590E">
        <w:rPr>
          <w:rFonts w:ascii="Arial" w:hAnsi="Arial" w:cs="Arial"/>
          <w:b/>
          <w:sz w:val="20"/>
          <w:szCs w:val="20"/>
          <w:vertAlign w:val="superscript"/>
          <w:lang w:val="pt-BR"/>
        </w:rPr>
        <w:t xml:space="preserve"> </w:t>
      </w:r>
      <w:r w:rsidR="0055590E" w:rsidRPr="0055590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5590E" w:rsidRP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>email</w:t>
      </w:r>
      <w:r w:rsid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 xml:space="preserve"> de contacto</w:t>
      </w:r>
      <w:r w:rsidR="0055590E" w:rsidRP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>: anaayalalugo@gmail.com</w:t>
      </w:r>
    </w:p>
    <w:p w:rsidR="008020D2" w:rsidRPr="0055590E" w:rsidRDefault="008020D2" w:rsidP="008020D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55590E">
        <w:rPr>
          <w:rFonts w:ascii="Arial" w:hAnsi="Arial" w:cs="Arial"/>
          <w:i/>
          <w:sz w:val="20"/>
          <w:szCs w:val="20"/>
          <w:lang w:val="es-MX"/>
        </w:rPr>
        <w:t>1. Laboratorio de Genética. Departamento de Biología Molecular y Genética. Instituto de Investigaciones en Ciencias de la Salud. Universidad Nacional de Asunción. Asunción, Paraguay</w:t>
      </w:r>
    </w:p>
    <w:p w:rsidR="008020D2" w:rsidRPr="0055590E" w:rsidRDefault="008020D2" w:rsidP="008020D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55590E">
        <w:rPr>
          <w:rFonts w:ascii="Arial" w:hAnsi="Arial" w:cs="Arial"/>
          <w:i/>
          <w:sz w:val="20"/>
          <w:szCs w:val="20"/>
          <w:lang w:val="es-MX"/>
        </w:rPr>
        <w:t>2. Departamento de Hematología de la Segunda Cátedra de Clínica Médica. Hospital de Clínicas. FCM-UNA. Asunción, Paraguay.</w:t>
      </w:r>
    </w:p>
    <w:p w:rsidR="001D17BB" w:rsidRPr="0055590E" w:rsidRDefault="008020D2" w:rsidP="006225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55590E">
        <w:rPr>
          <w:rFonts w:ascii="Arial" w:hAnsi="Arial" w:cs="Arial"/>
          <w:i/>
          <w:sz w:val="20"/>
          <w:szCs w:val="20"/>
          <w:lang w:val="es-MX"/>
        </w:rPr>
        <w:t>3. Departamento de Hematología. Hospital Central Del Instituto de Previsión Social. Asunción, Paraguay.</w:t>
      </w:r>
    </w:p>
    <w:p w:rsidR="007D04BC" w:rsidRDefault="001C3B84" w:rsidP="0062254D">
      <w:pPr>
        <w:shd w:val="clear" w:color="auto" w:fill="FFFFFF"/>
        <w:spacing w:before="75" w:after="75" w:line="270" w:lineRule="atLeast"/>
        <w:jc w:val="both"/>
        <w:outlineLvl w:val="3"/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</w:pP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La reacción en cadena de la polimerasa en tiempo real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o PCR en tiempo real </w:t>
      </w: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(</w:t>
      </w:r>
      <w:r w:rsidRP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es-MX"/>
        </w:rPr>
        <w:t>real time PCR</w:t>
      </w: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)</w:t>
      </w:r>
      <w:r w:rsidR="002759B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es el 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método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 elección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para la</w:t>
      </w:r>
      <w:r w:rsidR="006F5DF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detección</w:t>
      </w: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del transcripto BCR-ABL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que</w:t>
      </w: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es </w:t>
      </w:r>
      <w:r w:rsidR="002759B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aceptado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mundialmente</w:t>
      </w:r>
      <w:r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para el monitoreo de la respuesta al tratamiento en pacientes con leucemia mieloide crónica que presentan una remisión citogenética completa.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Esta técnica utiliza marcadores fluorescentes empleando sondas de ácidos </w:t>
      </w:r>
      <w:proofErr w:type="spellStart"/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nucleicos</w:t>
      </w:r>
      <w:proofErr w:type="spellEnd"/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que se unen específicamente al gen de interés. La precisión de este método evita posibles secuencias inespecíficas, por lo que la interpretación de los 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resultados es rápida y directa.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El objetivo del presente trabajo es describir la implementación de la técnica de PCR en tiempo real para la cuantificación del transcripto BCR-ABL en sangre periférica.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Se utiliza el equipo 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de PCR en tiempo real </w:t>
      </w:r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ABI</w:t>
      </w:r>
      <w:r w:rsidR="00B72723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proofErr w:type="spellStart"/>
      <w:r w:rsidR="00B72723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Prism</w:t>
      </w:r>
      <w:proofErr w:type="spellEnd"/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7500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(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Applied</w:t>
      </w:r>
      <w:proofErr w:type="spellEnd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Biosystems</w:t>
      </w:r>
      <w:proofErr w:type="spellEnd"/>
      <w:r w:rsidR="00B72723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-EUA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) y el kit 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MolecularMD</w:t>
      </w:r>
      <w:proofErr w:type="spellEnd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One-S</w:t>
      </w:r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tep</w:t>
      </w:r>
      <w:proofErr w:type="spellEnd"/>
      <w:r w:rsidR="002F074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qRT</w:t>
      </w:r>
      <w:proofErr w:type="spellEnd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-PCR BCR-ABL (</w:t>
      </w:r>
      <w:proofErr w:type="spellStart"/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MolecularMD</w:t>
      </w:r>
      <w:proofErr w:type="spellEnd"/>
      <w:r w:rsidR="00B72723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-EUA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)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. Este método </w:t>
      </w:r>
      <w:r w:rsidR="00040D5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permite la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cuantificación relativa de los niveles de expresi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ón del transcripto BCR-ABL en comparación c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on un gen de referencia que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está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si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endo expresado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en forma constante, en este caso el gen ABL. Los resultados se expresan como una relación en %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BCR-ABL/ABL 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pudiendo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informarse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los resultados en 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es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cala internacional (IS)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. 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Para la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construcción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 la curva estándar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del transcripto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BCR-ABL y 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d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el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control ABL, se utiliza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n como calibradores plásmidos con valores que van de 3 hasta 300,000 copias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para ambos</w:t>
      </w:r>
      <w:r w:rsidR="001910F5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. </w:t>
      </w:r>
      <w:r w:rsidR="00641441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Para </w:t>
      </w:r>
      <w:r w:rsidR="00BA5DD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garantizar 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la exactitud del método se utilizan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también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3 controles de ARN 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proveídos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con el kit</w:t>
      </w:r>
      <w:r w:rsidR="00D4603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: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a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) </w:t>
      </w:r>
      <w:r w:rsidR="00BA5DD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un control </w:t>
      </w:r>
      <w:r w:rsidR="00E1242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con </w:t>
      </w:r>
      <w:r w:rsidR="00256CA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altos niveles de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l transcripto (10% BCR-ABL/ABL)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;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b)</w:t>
      </w:r>
      <w:r w:rsidR="00BA5DD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un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control</w:t>
      </w:r>
      <w:r w:rsidR="00D4603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equivalente </w:t>
      </w:r>
      <w:r w:rsidR="007D04BC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 la respuesta molecular mayor (0,10% BCR-ABL/ABL)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reportada en el estudio IRIS</w:t>
      </w:r>
      <w:r w:rsidR="00AF3964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y c) un control negativo</w:t>
      </w:r>
      <w:r w:rsidR="005D4C40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.</w:t>
      </w:r>
      <w:r w:rsidR="002F2297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Se presentan las curvas estándar de calibración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 los plásmidos que contienen </w:t>
      </w:r>
      <w:r w:rsidR="00D93F9A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el gen BCR-ABL y el gen ABL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,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así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como los valores de los RNA controles. La construcción de curvas de calibración para</w:t>
      </w:r>
      <w:r w:rsidR="00273DA5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la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implementación y estandarización de la cuantificación relativa  del transcripto BCR-ABL es crítica para</w:t>
      </w:r>
      <w:r w:rsidR="00273DA5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la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deter</w:t>
      </w:r>
      <w:r w:rsidR="00273DA5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minación de sus niveles de expresión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, </w:t>
      </w:r>
      <w:r w:rsidR="0062676B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debido a que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refleja la cantidad de células leucémicas presentes en</w:t>
      </w:r>
      <w:r w:rsidR="00273DA5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la muestra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. Así, es posible el seguimiento de pacientes con remisión citogenética completa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ya que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la sensibilidad del PCR en tiempo rea</w:t>
      </w:r>
      <w:r w:rsidR="0062254D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l permite la detección de hasta 10</w:t>
      </w:r>
      <w:r w:rsidR="0062254D" w:rsidRPr="0055590E">
        <w:rPr>
          <w:rFonts w:ascii="Arial" w:eastAsia="Times New Roman" w:hAnsi="Arial" w:cs="Arial"/>
          <w:bCs/>
          <w:color w:val="403F3D"/>
          <w:sz w:val="20"/>
          <w:szCs w:val="20"/>
          <w:vertAlign w:val="superscript"/>
          <w:lang w:val="es-MX"/>
        </w:rPr>
        <w:t>6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vertAlign w:val="superscript"/>
          <w:lang w:val="es-MX"/>
        </w:rPr>
        <w:t xml:space="preserve"> </w:t>
      </w:r>
      <w:r w:rsidR="004E1C66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células leucémicas en circulación sanguínea</w:t>
      </w:r>
      <w:r w:rsidR="00273DA5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>.</w:t>
      </w:r>
      <w:r w:rsidR="008020D2" w:rsidRPr="0055590E"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  <w:t xml:space="preserve"> </w:t>
      </w:r>
    </w:p>
    <w:p w:rsidR="005D4C40" w:rsidRDefault="005D4C40" w:rsidP="002F0745">
      <w:pPr>
        <w:shd w:val="clear" w:color="auto" w:fill="FFFFFF"/>
        <w:spacing w:before="100" w:beforeAutospacing="1" w:after="100" w:afterAutospacing="1" w:line="432" w:lineRule="atLeast"/>
        <w:outlineLvl w:val="3"/>
        <w:rPr>
          <w:rFonts w:ascii="Arial" w:eastAsia="Times New Roman" w:hAnsi="Arial" w:cs="Arial"/>
          <w:bCs/>
          <w:color w:val="403F3D"/>
          <w:sz w:val="20"/>
          <w:szCs w:val="20"/>
          <w:lang w:val="es-MX"/>
        </w:rPr>
      </w:pPr>
    </w:p>
    <w:p w:rsidR="00E1018B" w:rsidRPr="00B072EC" w:rsidRDefault="00E1018B" w:rsidP="002F0745">
      <w:pPr>
        <w:shd w:val="clear" w:color="auto" w:fill="FFFFFF"/>
        <w:spacing w:before="100" w:beforeAutospacing="1" w:after="100" w:afterAutospacing="1" w:line="432" w:lineRule="atLeast"/>
        <w:outlineLvl w:val="3"/>
        <w:rPr>
          <w:rFonts w:ascii="Arial" w:eastAsia="Times New Roman" w:hAnsi="Arial" w:cs="Arial"/>
          <w:bCs/>
          <w:lang w:val="es-MX"/>
        </w:rPr>
      </w:pPr>
    </w:p>
    <w:sectPr w:rsidR="00E1018B" w:rsidRPr="00B072EC" w:rsidSect="0024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6EF2"/>
    <w:rsid w:val="00040D5D"/>
    <w:rsid w:val="00166EF2"/>
    <w:rsid w:val="001910F5"/>
    <w:rsid w:val="001C3B84"/>
    <w:rsid w:val="001D17BB"/>
    <w:rsid w:val="00245693"/>
    <w:rsid w:val="00255F71"/>
    <w:rsid w:val="00256CAD"/>
    <w:rsid w:val="00273DA5"/>
    <w:rsid w:val="002759B0"/>
    <w:rsid w:val="00294E4B"/>
    <w:rsid w:val="002F0745"/>
    <w:rsid w:val="002F2297"/>
    <w:rsid w:val="003C1A95"/>
    <w:rsid w:val="004C1AA6"/>
    <w:rsid w:val="004E1C66"/>
    <w:rsid w:val="0055590E"/>
    <w:rsid w:val="00563EB1"/>
    <w:rsid w:val="005D4C40"/>
    <w:rsid w:val="0062254D"/>
    <w:rsid w:val="0062676B"/>
    <w:rsid w:val="00641441"/>
    <w:rsid w:val="006F5DFA"/>
    <w:rsid w:val="007D04BC"/>
    <w:rsid w:val="008020D2"/>
    <w:rsid w:val="008538CD"/>
    <w:rsid w:val="00891063"/>
    <w:rsid w:val="008B3E40"/>
    <w:rsid w:val="00917E83"/>
    <w:rsid w:val="00972F62"/>
    <w:rsid w:val="009E75A7"/>
    <w:rsid w:val="00A12452"/>
    <w:rsid w:val="00AF3964"/>
    <w:rsid w:val="00B072EC"/>
    <w:rsid w:val="00B72723"/>
    <w:rsid w:val="00BA5DDD"/>
    <w:rsid w:val="00C44AA7"/>
    <w:rsid w:val="00D10715"/>
    <w:rsid w:val="00D46030"/>
    <w:rsid w:val="00D93F9A"/>
    <w:rsid w:val="00DA6004"/>
    <w:rsid w:val="00E1018B"/>
    <w:rsid w:val="00E12426"/>
    <w:rsid w:val="00E25DAE"/>
    <w:rsid w:val="00E720AC"/>
    <w:rsid w:val="00E92CE2"/>
    <w:rsid w:val="00FD1091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93"/>
  </w:style>
  <w:style w:type="paragraph" w:styleId="Ttulo4">
    <w:name w:val="heading 4"/>
    <w:basedOn w:val="Normal"/>
    <w:link w:val="Ttulo4Car"/>
    <w:uiPriority w:val="9"/>
    <w:qFormat/>
    <w:rsid w:val="002F0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9B0"/>
    <w:pPr>
      <w:spacing w:after="120" w:line="240" w:lineRule="auto"/>
      <w:ind w:left="120"/>
    </w:pPr>
    <w:rPr>
      <w:rFonts w:ascii="Times New Roman" w:eastAsia="Times New Roman" w:hAnsi="Times New Roman" w:cs="Times New Roman"/>
      <w:color w:val="41404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2F0745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5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7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0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162">
              <w:marLeft w:val="225"/>
              <w:marRight w:val="225"/>
              <w:marTop w:val="0"/>
              <w:marBottom w:val="0"/>
              <w:divBdr>
                <w:top w:val="single" w:sz="2" w:space="0" w:color="A5B8C9"/>
                <w:left w:val="single" w:sz="2" w:space="0" w:color="A5B8C9"/>
                <w:bottom w:val="single" w:sz="2" w:space="0" w:color="A5B8C9"/>
                <w:right w:val="single" w:sz="2" w:space="0" w:color="A5B8C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2011-06-11T01:37:00Z</cp:lastPrinted>
  <dcterms:created xsi:type="dcterms:W3CDTF">2011-06-15T11:08:00Z</dcterms:created>
  <dcterms:modified xsi:type="dcterms:W3CDTF">2011-07-01T12:23:00Z</dcterms:modified>
</cp:coreProperties>
</file>